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EF2" w:rsidRPr="00166EF2" w:rsidRDefault="00166EF2" w:rsidP="00166EF2">
      <w:pPr>
        <w:rPr>
          <w:rFonts w:cstheme="minorHAnsi"/>
          <w:b/>
          <w:bCs/>
        </w:rPr>
      </w:pPr>
      <w:r w:rsidRPr="00166EF2">
        <w:rPr>
          <w:rFonts w:cstheme="minorHAnsi"/>
          <w:b/>
          <w:bCs/>
        </w:rPr>
        <w:t>Цель</w:t>
      </w:r>
    </w:p>
    <w:p w:rsidR="00166EF2" w:rsidRPr="00166EF2" w:rsidRDefault="00166EF2" w:rsidP="00166EF2">
      <w:pPr>
        <w:rPr>
          <w:rFonts w:cstheme="minorHAnsi"/>
          <w:sz w:val="20"/>
          <w:szCs w:val="20"/>
        </w:rPr>
      </w:pPr>
      <w:r w:rsidRPr="00166EF2">
        <w:rPr>
          <w:rFonts w:cstheme="minorHAnsi"/>
          <w:sz w:val="20"/>
          <w:szCs w:val="20"/>
        </w:rPr>
        <w:t xml:space="preserve">(1) Оценить параметры суточной вариабельности артериального давления (АД) у нелеченных пациентов с гипертонической болезнью (ГБ)  </w:t>
      </w:r>
      <w:r w:rsidRPr="00166EF2">
        <w:rPr>
          <w:rFonts w:cstheme="minorHAnsi"/>
          <w:sz w:val="20"/>
          <w:szCs w:val="20"/>
          <w:lang w:val="en-US"/>
        </w:rPr>
        <w:t>II</w:t>
      </w:r>
      <w:r w:rsidRPr="00166EF2">
        <w:rPr>
          <w:rFonts w:cstheme="minorHAnsi"/>
          <w:sz w:val="20"/>
          <w:szCs w:val="20"/>
        </w:rPr>
        <w:t> стадии 1–2 степени в возрасте 45–65 лет в сравнении с сопоставимыми по полу и возрасту здоровыми лицами; (2) сравнить влияние фиксированной комбинации (ФК) амлодипин/лизиноприл (ФК А/Л) и ФК бисопролол/гидрохлортиазид (ФК Б/Г) на суточную вариабельность АД у данной категории больных.</w:t>
      </w:r>
    </w:p>
    <w:p w:rsidR="00166EF2" w:rsidRPr="00166EF2" w:rsidRDefault="00166EF2" w:rsidP="00166EF2">
      <w:pPr>
        <w:rPr>
          <w:rFonts w:cstheme="minorHAnsi"/>
          <w:b/>
          <w:bCs/>
        </w:rPr>
      </w:pPr>
      <w:r w:rsidRPr="00166EF2">
        <w:rPr>
          <w:rFonts w:cstheme="minorHAnsi"/>
          <w:b/>
          <w:bCs/>
        </w:rPr>
        <w:t>Материалы и методы</w:t>
      </w:r>
    </w:p>
    <w:p w:rsidR="00166EF2" w:rsidRPr="00166EF2" w:rsidRDefault="00166EF2" w:rsidP="00166EF2">
      <w:pPr>
        <w:rPr>
          <w:rFonts w:cstheme="minorHAnsi"/>
          <w:sz w:val="20"/>
          <w:szCs w:val="20"/>
        </w:rPr>
      </w:pPr>
      <w:r w:rsidRPr="00166EF2">
        <w:rPr>
          <w:rFonts w:cstheme="minorHAnsi"/>
          <w:sz w:val="20"/>
          <w:szCs w:val="20"/>
        </w:rPr>
        <w:t>На первом этапе обследовано 44 здоровых человека (21 мужчина, средний возраст 51,5±1,0 лет) и 60 нелеченных пациентов с ГБ II ст. 1–2 ст. (31 мужчина, средний возраст 53,6±0,8 лет).  На втором этапе больные ГБ были рандомизированы на две подгруппы. Пациенты первой подгруппы (средний возраст 52,7±1,1 лет) получали ФК А/Л в стартовой дозе 5 мг/10 мг, пациенты второй подгруппы (средний возраст 54,6±1,0 лет) — ​ФК Б/Г в стартовой дозе 2,5 мг/6,25 мг. Дозу ФК титровали каждые 14 дней до достижения целевого АД ниже 140/90 мм рт. ст. с последующим продолжением терапии в подобранном сочетании доз в течение 12 недель.</w:t>
      </w:r>
    </w:p>
    <w:p w:rsidR="00166EF2" w:rsidRPr="00166EF2" w:rsidRDefault="00166EF2" w:rsidP="00166EF2">
      <w:pPr>
        <w:rPr>
          <w:rFonts w:cstheme="minorHAnsi"/>
          <w:b/>
          <w:bCs/>
        </w:rPr>
      </w:pPr>
      <w:r w:rsidRPr="00166EF2">
        <w:rPr>
          <w:rFonts w:cstheme="minorHAnsi"/>
          <w:b/>
          <w:bCs/>
        </w:rPr>
        <w:t>Результаты</w:t>
      </w:r>
    </w:p>
    <w:p w:rsidR="00166EF2" w:rsidRPr="00166EF2" w:rsidRDefault="00166EF2" w:rsidP="00166EF2">
      <w:pPr>
        <w:rPr>
          <w:rFonts w:cstheme="minorHAnsi"/>
          <w:color w:val="000008"/>
          <w:sz w:val="20"/>
          <w:szCs w:val="20"/>
        </w:rPr>
      </w:pPr>
      <w:r w:rsidRPr="00166EF2">
        <w:rPr>
          <w:rFonts w:cstheme="minorHAnsi"/>
          <w:sz w:val="20"/>
          <w:szCs w:val="20"/>
        </w:rPr>
        <w:t xml:space="preserve">У больных ГБ вариабельность систолического АД (САД) и диастолического  АД (ДАД) ночью (12,1±0,4 и 9,8±0,4 мм рт. ст., соответственно) была достоверно (p&lt;0,001) выше по сравнению с контролем (9,3±0,4 и 6,9±0,3 мм рт. ст., соответственно). В обеих </w:t>
      </w:r>
      <w:proofErr w:type="gramStart"/>
      <w:r w:rsidRPr="00166EF2">
        <w:rPr>
          <w:rFonts w:cstheme="minorHAnsi"/>
          <w:sz w:val="20"/>
          <w:szCs w:val="20"/>
        </w:rPr>
        <w:t>подгруппах  достоверно</w:t>
      </w:r>
      <w:proofErr w:type="gramEnd"/>
      <w:r w:rsidRPr="00166EF2">
        <w:rPr>
          <w:rFonts w:cstheme="minorHAnsi"/>
          <w:sz w:val="20"/>
          <w:szCs w:val="20"/>
        </w:rPr>
        <w:t xml:space="preserve"> снизились офисные САД, ДАД, пульсовое АД (ПД), среднедневное САД, ДАД, ПД, средненочное САД, ДАД. На фоне терапии обеими ФК достоверно (р&lt;0,05) снизилась вариабельность САД в дневное время, в подгруппе ФК А/Л в достоверно (р&lt;0,05) большей степени (–2,7±0,7, –0,9±0,3 мм рт. ст., соответственно). В подгруппе ФК А/Л отмечено достоверное (</w:t>
      </w:r>
      <w:proofErr w:type="gramStart"/>
      <w:r w:rsidRPr="00166EF2">
        <w:rPr>
          <w:rFonts w:cstheme="minorHAnsi"/>
          <w:sz w:val="20"/>
          <w:szCs w:val="20"/>
        </w:rPr>
        <w:t>р&lt;</w:t>
      </w:r>
      <w:proofErr w:type="gramEnd"/>
      <w:r w:rsidRPr="00166EF2">
        <w:rPr>
          <w:rFonts w:cstheme="minorHAnsi"/>
          <w:sz w:val="20"/>
          <w:szCs w:val="20"/>
        </w:rPr>
        <w:t>0,05) снижение вариабельности САД ночью и вариабельности ДАД в дневное и ночное время (–1,2±0,5, –0,7±0,3, –1,4±0,6 мм рт. ст., соответственно).</w:t>
      </w:r>
    </w:p>
    <w:p w:rsidR="00166EF2" w:rsidRPr="00166EF2" w:rsidRDefault="00166EF2" w:rsidP="00166EF2">
      <w:pPr>
        <w:rPr>
          <w:rFonts w:cstheme="minorHAnsi"/>
          <w:b/>
          <w:bCs/>
        </w:rPr>
      </w:pPr>
      <w:r w:rsidRPr="00166EF2">
        <w:rPr>
          <w:rFonts w:cstheme="minorHAnsi"/>
          <w:b/>
          <w:bCs/>
        </w:rPr>
        <w:t>Выводы</w:t>
      </w:r>
    </w:p>
    <w:p w:rsidR="00166EF2" w:rsidRPr="00166EF2" w:rsidRDefault="00166EF2" w:rsidP="00166EF2">
      <w:pPr>
        <w:rPr>
          <w:rFonts w:cstheme="minorHAnsi"/>
          <w:sz w:val="20"/>
          <w:szCs w:val="20"/>
        </w:rPr>
      </w:pPr>
      <w:r w:rsidRPr="00166EF2">
        <w:rPr>
          <w:rFonts w:cstheme="minorHAnsi"/>
          <w:sz w:val="20"/>
          <w:szCs w:val="20"/>
        </w:rPr>
        <w:t xml:space="preserve">Нелеченные пациенты 45–65 лет с ГБ </w:t>
      </w:r>
      <w:r w:rsidRPr="00166EF2">
        <w:rPr>
          <w:rFonts w:cstheme="minorHAnsi"/>
          <w:sz w:val="20"/>
          <w:szCs w:val="20"/>
          <w:lang w:val="en-US"/>
        </w:rPr>
        <w:t>II</w:t>
      </w:r>
      <w:r w:rsidRPr="00166EF2">
        <w:rPr>
          <w:rFonts w:cstheme="minorHAnsi"/>
          <w:sz w:val="20"/>
          <w:szCs w:val="20"/>
        </w:rPr>
        <w:t xml:space="preserve"> ст. 1–2 степени отличаются от сопоставимых по полу и возрасту здоровых лиц более высокой вариабельностью САД и ДАД в ночные часы. У данного контингента </w:t>
      </w:r>
      <w:proofErr w:type="gramStart"/>
      <w:r w:rsidRPr="00166EF2">
        <w:rPr>
          <w:rFonts w:cstheme="minorHAnsi"/>
          <w:sz w:val="20"/>
          <w:szCs w:val="20"/>
        </w:rPr>
        <w:t>больных  ГБ</w:t>
      </w:r>
      <w:proofErr w:type="gramEnd"/>
      <w:r w:rsidRPr="00166EF2">
        <w:rPr>
          <w:rFonts w:cstheme="minorHAnsi"/>
          <w:sz w:val="20"/>
          <w:szCs w:val="20"/>
        </w:rPr>
        <w:t xml:space="preserve"> 12-ти недельная терапия  ФК А/Л обладает более выраженными антигипертензивными свойствами и лучше снижает суточную вариабельность АД  по сравнению с  ФК Б/Г.</w:t>
      </w:r>
    </w:p>
    <w:p w:rsidR="00166EF2" w:rsidRPr="00166EF2" w:rsidRDefault="00166EF2" w:rsidP="00166EF2">
      <w:pPr>
        <w:rPr>
          <w:rFonts w:cstheme="minorHAnsi"/>
          <w:b/>
          <w:bCs/>
        </w:rPr>
      </w:pPr>
      <w:r w:rsidRPr="00166EF2">
        <w:rPr>
          <w:rFonts w:cstheme="minorHAnsi"/>
          <w:b/>
          <w:bCs/>
        </w:rPr>
        <w:t>Ключевые слова</w:t>
      </w:r>
    </w:p>
    <w:p w:rsidR="00166EF2" w:rsidRPr="00166EF2" w:rsidRDefault="00166EF2" w:rsidP="00166EF2">
      <w:pPr>
        <w:rPr>
          <w:rFonts w:cstheme="minorHAnsi"/>
          <w:sz w:val="20"/>
          <w:szCs w:val="20"/>
        </w:rPr>
      </w:pPr>
      <w:r w:rsidRPr="00166EF2">
        <w:rPr>
          <w:rFonts w:cstheme="minorHAnsi"/>
          <w:sz w:val="20"/>
          <w:szCs w:val="20"/>
        </w:rPr>
        <w:t>Артериальная гипертония, суточная вариабельность артериального давления, суточное мониторирование артериального давления, фиксированные комбинации</w:t>
      </w:r>
      <w:r w:rsidRPr="00166EF2">
        <w:rPr>
          <w:rFonts w:cstheme="minorHAnsi"/>
          <w:sz w:val="20"/>
          <w:szCs w:val="20"/>
        </w:rPr>
        <w:t>.</w:t>
      </w:r>
      <w:bookmarkStart w:id="0" w:name="_GoBack"/>
      <w:bookmarkEnd w:id="0"/>
    </w:p>
    <w:p w:rsidR="00726DBA" w:rsidRPr="00166EF2" w:rsidRDefault="00726DBA" w:rsidP="00166EF2">
      <w:pPr>
        <w:rPr>
          <w:rFonts w:cstheme="minorHAnsi"/>
        </w:rPr>
      </w:pPr>
    </w:p>
    <w:sectPr w:rsidR="00726DBA" w:rsidRPr="00166EF2" w:rsidSect="00815A3A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Bold"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DINPro-MediumItalic">
    <w:panose1 w:val="020B06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32"/>
    <w:rsid w:val="00166EF2"/>
    <w:rsid w:val="00726DBA"/>
    <w:rsid w:val="00DC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0B1303"/>
  <w15:chartTrackingRefBased/>
  <w15:docId w15:val="{D2497F9C-DEF5-4778-8A6B-E3709A9D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Head">
    <w:name w:val="Lead Head (СТАРТ)"/>
    <w:basedOn w:val="a"/>
    <w:next w:val="LeadText"/>
    <w:uiPriority w:val="99"/>
    <w:rsid w:val="00DC2732"/>
    <w:pPr>
      <w:keepNext/>
      <w:shd w:val="clear" w:color="auto" w:fill="000000"/>
      <w:suppressAutoHyphens/>
      <w:autoSpaceDE w:val="0"/>
      <w:autoSpaceDN w:val="0"/>
      <w:adjustRightInd w:val="0"/>
      <w:spacing w:before="113" w:after="0" w:line="280" w:lineRule="atLeast"/>
      <w:ind w:left="113" w:right="113"/>
      <w:textAlignment w:val="center"/>
    </w:pPr>
    <w:rPr>
      <w:rFonts w:ascii="DINPro-Bold" w:hAnsi="DINPro-Bold" w:cs="DINPro-Bold"/>
      <w:b/>
      <w:bCs/>
      <w:color w:val="000000"/>
      <w:spacing w:val="2"/>
      <w:sz w:val="24"/>
      <w:szCs w:val="24"/>
    </w:rPr>
  </w:style>
  <w:style w:type="paragraph" w:customStyle="1" w:styleId="LeadText">
    <w:name w:val="LeadText (СТАРТ)"/>
    <w:basedOn w:val="a"/>
    <w:next w:val="LeadHead"/>
    <w:uiPriority w:val="99"/>
    <w:rsid w:val="00DC2732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MediumItalic" w:hAnsi="DINPro-MediumItalic" w:cs="DINPro-MediumItalic"/>
      <w:i/>
      <w:iCs/>
      <w:color w:val="000000"/>
      <w:sz w:val="20"/>
      <w:szCs w:val="20"/>
    </w:rPr>
  </w:style>
  <w:style w:type="character" w:customStyle="1" w:styleId="Bold">
    <w:name w:val="Bold"/>
    <w:uiPriority w:val="99"/>
    <w:rsid w:val="00DC2732"/>
    <w:rPr>
      <w:b/>
      <w:bCs/>
      <w:u w:val="none"/>
      <w:vertAlign w:val="baseline"/>
    </w:rPr>
  </w:style>
  <w:style w:type="paragraph" w:styleId="a3">
    <w:name w:val="No Spacing"/>
    <w:uiPriority w:val="1"/>
    <w:qFormat/>
    <w:rsid w:val="00166E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2020-02-17T17:55:00Z</dcterms:created>
  <dcterms:modified xsi:type="dcterms:W3CDTF">2020-02-17T17:55:00Z</dcterms:modified>
</cp:coreProperties>
</file>